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A" w:rsidRPr="005D1F9A" w:rsidRDefault="005D1F9A" w:rsidP="005D1F9A">
      <w:pPr>
        <w:jc w:val="center"/>
        <w:rPr>
          <w:b/>
          <w:bCs/>
          <w:color w:val="000000"/>
          <w:sz w:val="28"/>
          <w:szCs w:val="28"/>
        </w:rPr>
      </w:pPr>
      <w:r w:rsidRPr="005D1F9A">
        <w:rPr>
          <w:b/>
          <w:bCs/>
          <w:color w:val="000000"/>
          <w:sz w:val="28"/>
          <w:szCs w:val="28"/>
        </w:rPr>
        <w:t>DANH MỤC TRANG TRÍ, QUẢNG CÁO</w:t>
      </w:r>
    </w:p>
    <w:p w:rsidR="005D1F9A" w:rsidRPr="005D1F9A" w:rsidRDefault="005D1F9A" w:rsidP="005D1F9A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5D1F9A">
        <w:rPr>
          <w:b/>
          <w:bCs/>
          <w:color w:val="000000"/>
          <w:sz w:val="28"/>
          <w:szCs w:val="28"/>
        </w:rPr>
        <w:t>VÒNG CHUNG KẾT GIẢI BÓNG ĐÁ VÔ ĐỊCH U</w:t>
      </w:r>
      <w:r w:rsidR="00EB1E5C">
        <w:rPr>
          <w:b/>
          <w:bCs/>
          <w:color w:val="000000"/>
          <w:sz w:val="28"/>
          <w:szCs w:val="28"/>
          <w:lang w:val="vi-VN"/>
        </w:rPr>
        <w:t>21</w:t>
      </w:r>
      <w:r w:rsidR="00EB1E5C">
        <w:rPr>
          <w:b/>
          <w:bCs/>
          <w:color w:val="000000"/>
          <w:sz w:val="28"/>
          <w:szCs w:val="28"/>
        </w:rPr>
        <w:t xml:space="preserve"> QUỐC GIA 20</w:t>
      </w:r>
      <w:r w:rsidRPr="005D1F9A">
        <w:rPr>
          <w:b/>
          <w:bCs/>
          <w:color w:val="000000"/>
          <w:sz w:val="28"/>
          <w:szCs w:val="28"/>
          <w:lang w:val="vi-VN"/>
        </w:rPr>
        <w:t>26</w:t>
      </w:r>
    </w:p>
    <w:p w:rsidR="005D1F9A" w:rsidRPr="000E7438" w:rsidRDefault="005D1F9A" w:rsidP="005D1F9A">
      <w:pPr>
        <w:spacing w:before="120" w:after="120" w:line="240" w:lineRule="atLeast"/>
        <w:jc w:val="center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Từ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1</w:t>
      </w:r>
      <w:r w:rsidR="00CB7024">
        <w:rPr>
          <w:i/>
          <w:sz w:val="26"/>
          <w:szCs w:val="26"/>
          <w:lang w:val="vi-VN"/>
        </w:rPr>
        <w:t>2</w:t>
      </w:r>
      <w:r w:rsidR="00CB7024">
        <w:rPr>
          <w:i/>
          <w:sz w:val="26"/>
          <w:szCs w:val="26"/>
        </w:rPr>
        <w:t xml:space="preserve">/7 </w:t>
      </w:r>
      <w:proofErr w:type="spellStart"/>
      <w:r w:rsidR="00CB7024">
        <w:rPr>
          <w:i/>
          <w:sz w:val="26"/>
          <w:szCs w:val="26"/>
        </w:rPr>
        <w:t>đến</w:t>
      </w:r>
      <w:proofErr w:type="spellEnd"/>
      <w:r w:rsidR="00CB7024">
        <w:rPr>
          <w:i/>
          <w:sz w:val="26"/>
          <w:szCs w:val="26"/>
        </w:rPr>
        <w:t xml:space="preserve"> </w:t>
      </w:r>
      <w:proofErr w:type="spellStart"/>
      <w:r w:rsidR="00CB7024">
        <w:rPr>
          <w:i/>
          <w:sz w:val="26"/>
          <w:szCs w:val="26"/>
        </w:rPr>
        <w:t>ngày</w:t>
      </w:r>
      <w:proofErr w:type="spellEnd"/>
      <w:r w:rsidR="00CB7024">
        <w:rPr>
          <w:i/>
          <w:sz w:val="26"/>
          <w:szCs w:val="26"/>
        </w:rPr>
        <w:t xml:space="preserve"> 25</w:t>
      </w:r>
      <w:r w:rsidRPr="000E7438">
        <w:rPr>
          <w:i/>
          <w:sz w:val="26"/>
          <w:szCs w:val="26"/>
        </w:rPr>
        <w:t>/</w:t>
      </w:r>
      <w:r w:rsidR="00CB7024">
        <w:rPr>
          <w:i/>
          <w:sz w:val="26"/>
          <w:szCs w:val="26"/>
        </w:rPr>
        <w:t>7</w:t>
      </w:r>
      <w:r w:rsidRPr="000E7438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2026 </w:t>
      </w:r>
      <w:proofErr w:type="spellStart"/>
      <w:r>
        <w:rPr>
          <w:i/>
          <w:sz w:val="26"/>
          <w:szCs w:val="26"/>
        </w:rPr>
        <w:t>tại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Trung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tâm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Đào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tạo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Bóng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đá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trẻ</w:t>
      </w:r>
      <w:proofErr w:type="spellEnd"/>
      <w:r>
        <w:rPr>
          <w:i/>
          <w:sz w:val="26"/>
          <w:szCs w:val="26"/>
        </w:rPr>
        <w:t xml:space="preserve"> PVF</w:t>
      </w:r>
    </w:p>
    <w:p w:rsidR="005D1F9A" w:rsidRPr="000E7438" w:rsidRDefault="005D1F9A" w:rsidP="005D1F9A">
      <w:pPr>
        <w:spacing w:before="120" w:after="240" w:line="240" w:lineRule="atLeast"/>
        <w:ind w:left="-142"/>
        <w:jc w:val="center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89826" wp14:editId="2F81B735">
                <wp:simplePos x="0" y="0"/>
                <wp:positionH relativeFrom="column">
                  <wp:posOffset>1502410</wp:posOffset>
                </wp:positionH>
                <wp:positionV relativeFrom="paragraph">
                  <wp:posOffset>95250</wp:posOffset>
                </wp:positionV>
                <wp:extent cx="311534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7.5pt" to="363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225"/>
        <w:gridCol w:w="1290"/>
        <w:gridCol w:w="3118"/>
      </w:tblGrid>
      <w:tr w:rsidR="005D1F9A" w:rsidRPr="00134569" w:rsidTr="005D1F9A">
        <w:trPr>
          <w:jc w:val="center"/>
        </w:trPr>
        <w:tc>
          <w:tcPr>
            <w:tcW w:w="568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  <w:r w:rsidRPr="0013456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4569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290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4569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b/>
                <w:bCs/>
                <w:sz w:val="26"/>
                <w:szCs w:val="26"/>
              </w:rPr>
              <w:t>lượng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br/>
              <w:t>(</w:t>
            </w:r>
            <w:proofErr w:type="spellStart"/>
            <w:r w:rsidRPr="00134569">
              <w:rPr>
                <w:b/>
                <w:bCs/>
                <w:sz w:val="26"/>
                <w:szCs w:val="26"/>
              </w:rPr>
              <w:t>cái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134569">
              <w:rPr>
                <w:b/>
                <w:bCs/>
                <w:sz w:val="26"/>
                <w:szCs w:val="26"/>
              </w:rPr>
              <w:t>sân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34569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13456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5D1F9A" w:rsidRPr="00134569" w:rsidTr="005D1F9A">
        <w:trPr>
          <w:trHeight w:val="851"/>
          <w:jc w:val="center"/>
        </w:trPr>
        <w:tc>
          <w:tcPr>
            <w:tcW w:w="568" w:type="dxa"/>
            <w:vAlign w:val="center"/>
          </w:tcPr>
          <w:p w:rsidR="005D1F9A" w:rsidRPr="00134569" w:rsidRDefault="005D1F9A" w:rsidP="00014304">
            <w:pPr>
              <w:jc w:val="center"/>
              <w:rPr>
                <w:bCs/>
                <w:sz w:val="26"/>
                <w:szCs w:val="26"/>
              </w:rPr>
            </w:pPr>
            <w:r w:rsidRPr="0013456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575955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quảng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cáo</w:t>
            </w:r>
            <w:proofErr w:type="spellEnd"/>
            <w:r w:rsidRPr="00134569">
              <w:rPr>
                <w:sz w:val="26"/>
                <w:szCs w:val="26"/>
              </w:rPr>
              <w:t xml:space="preserve"> 02 </w:t>
            </w:r>
            <w:proofErr w:type="spellStart"/>
            <w:r w:rsidRPr="00134569">
              <w:rPr>
                <w:sz w:val="26"/>
                <w:szCs w:val="26"/>
              </w:rPr>
              <w:t>mặt</w:t>
            </w:r>
            <w:proofErr w:type="spellEnd"/>
            <w:r w:rsidRPr="00134569">
              <w:rPr>
                <w:sz w:val="26"/>
                <w:szCs w:val="26"/>
              </w:rPr>
              <w:t xml:space="preserve"> (KT: 1m x 5m):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tên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giải</w:t>
            </w:r>
            <w:proofErr w:type="spellEnd"/>
            <w:r w:rsidRPr="00134569">
              <w:rPr>
                <w:sz w:val="26"/>
                <w:szCs w:val="26"/>
              </w:rPr>
              <w:t xml:space="preserve"> (02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); VFF Facebook (01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); VFF Channel (01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); VFF Website (01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Pr="00134569">
              <w:rPr>
                <w:sz w:val="26"/>
                <w:szCs w:val="26"/>
              </w:rPr>
              <w:t xml:space="preserve">); VFF </w:t>
            </w:r>
            <w:proofErr w:type="spellStart"/>
            <w:r w:rsidRPr="00134569">
              <w:rPr>
                <w:sz w:val="26"/>
                <w:szCs w:val="26"/>
              </w:rPr>
              <w:t>Zalo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r w:rsidR="00CB7024">
              <w:rPr>
                <w:sz w:val="26"/>
                <w:szCs w:val="26"/>
              </w:rPr>
              <w:t xml:space="preserve">(01 </w:t>
            </w:r>
            <w:proofErr w:type="spellStart"/>
            <w:r w:rsidR="00CB7024">
              <w:rPr>
                <w:sz w:val="26"/>
                <w:szCs w:val="26"/>
              </w:rPr>
              <w:t>bảng</w:t>
            </w:r>
            <w:proofErr w:type="spellEnd"/>
            <w:r w:rsidR="00CB7024">
              <w:rPr>
                <w:sz w:val="26"/>
                <w:szCs w:val="26"/>
              </w:rPr>
              <w:t xml:space="preserve">); VFF </w:t>
            </w:r>
            <w:proofErr w:type="spellStart"/>
            <w:r w:rsidR="00CB7024">
              <w:rPr>
                <w:sz w:val="26"/>
                <w:szCs w:val="26"/>
              </w:rPr>
              <w:t>Tiktok</w:t>
            </w:r>
            <w:proofErr w:type="spellEnd"/>
            <w:r w:rsidR="00CB7024">
              <w:rPr>
                <w:sz w:val="26"/>
                <w:szCs w:val="26"/>
              </w:rPr>
              <w:t xml:space="preserve"> (01 </w:t>
            </w:r>
            <w:proofErr w:type="spellStart"/>
            <w:r w:rsidR="00CB7024">
              <w:rPr>
                <w:sz w:val="26"/>
                <w:szCs w:val="26"/>
              </w:rPr>
              <w:t>bảng</w:t>
            </w:r>
            <w:proofErr w:type="spellEnd"/>
            <w:r w:rsidR="00CB702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  <w:r w:rsidRPr="00134569">
              <w:rPr>
                <w:sz w:val="26"/>
                <w:szCs w:val="26"/>
              </w:rPr>
              <w:t xml:space="preserve">  </w:t>
            </w:r>
            <w:r w:rsidR="00CB7024">
              <w:rPr>
                <w:sz w:val="26"/>
                <w:szCs w:val="26"/>
                <w:lang w:val="vi-VN"/>
              </w:rPr>
              <w:t>FPT</w:t>
            </w:r>
            <w:r w:rsidRPr="00134569">
              <w:rPr>
                <w:sz w:val="26"/>
                <w:szCs w:val="26"/>
              </w:rPr>
              <w:t xml:space="preserve"> (1</w:t>
            </w:r>
            <w:r w:rsidR="00CB7024">
              <w:rPr>
                <w:sz w:val="26"/>
                <w:szCs w:val="26"/>
                <w:lang w:val="vi-VN"/>
              </w:rPr>
              <w:t>6</w:t>
            </w:r>
            <w:r w:rsidR="00575955">
              <w:rPr>
                <w:sz w:val="26"/>
                <w:szCs w:val="26"/>
              </w:rPr>
              <w:t xml:space="preserve"> </w:t>
            </w:r>
            <w:proofErr w:type="spellStart"/>
            <w:r w:rsidR="00575955">
              <w:rPr>
                <w:sz w:val="26"/>
                <w:szCs w:val="26"/>
              </w:rPr>
              <w:t>bảng</w:t>
            </w:r>
            <w:proofErr w:type="spellEnd"/>
            <w:r w:rsidR="00575955">
              <w:rPr>
                <w:sz w:val="26"/>
                <w:szCs w:val="26"/>
              </w:rPr>
              <w:t>).</w:t>
            </w:r>
          </w:p>
        </w:tc>
        <w:tc>
          <w:tcPr>
            <w:tcW w:w="1290" w:type="dxa"/>
            <w:vAlign w:val="center"/>
          </w:tcPr>
          <w:p w:rsidR="005D1F9A" w:rsidRPr="00CB7024" w:rsidRDefault="005D1F9A" w:rsidP="00575955">
            <w:pPr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  <w:r w:rsidR="00575955">
              <w:rPr>
                <w:sz w:val="26"/>
                <w:szCs w:val="26"/>
                <w:lang w:val="vi-VN"/>
              </w:rPr>
              <w:t>3</w:t>
            </w:r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bảng</w:t>
            </w:r>
            <w:proofErr w:type="spellEnd"/>
            <w:r w:rsidR="00CB7024">
              <w:rPr>
                <w:sz w:val="26"/>
                <w:szCs w:val="26"/>
                <w:lang w:val="vi-VN"/>
              </w:rPr>
              <w:t>/sân thi đấu</w:t>
            </w:r>
          </w:p>
        </w:tc>
        <w:tc>
          <w:tcPr>
            <w:tcW w:w="3118" w:type="dxa"/>
            <w:vAlign w:val="center"/>
          </w:tcPr>
          <w:p w:rsidR="005D1F9A" w:rsidRDefault="005D1F9A" w:rsidP="0001430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Cập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nhật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mẫu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bảng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quảng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NTT </w:t>
            </w:r>
            <w:proofErr w:type="spellStart"/>
            <w:r>
              <w:rPr>
                <w:bCs/>
                <w:sz w:val="26"/>
                <w:szCs w:val="26"/>
              </w:rPr>
              <w:t>từ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tháng</w:t>
            </w:r>
            <w:proofErr w:type="spellEnd"/>
            <w:r>
              <w:rPr>
                <w:bCs/>
                <w:sz w:val="26"/>
                <w:szCs w:val="26"/>
              </w:rPr>
              <w:t xml:space="preserve"> 01/2026.</w:t>
            </w:r>
          </w:p>
          <w:p w:rsidR="005D1F9A" w:rsidRPr="00134569" w:rsidRDefault="005D1F9A" w:rsidP="0057595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- 2</w:t>
            </w:r>
            <w:r w:rsidR="00575955">
              <w:rPr>
                <w:bCs/>
                <w:sz w:val="26"/>
                <w:szCs w:val="26"/>
                <w:lang w:val="vi-VN"/>
              </w:rPr>
              <w:t>3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bảng</w:t>
            </w:r>
            <w:proofErr w:type="spellEnd"/>
            <w:r>
              <w:rPr>
                <w:bCs/>
                <w:sz w:val="26"/>
                <w:szCs w:val="26"/>
              </w:rPr>
              <w:t xml:space="preserve"> x 03 </w:t>
            </w:r>
            <w:proofErr w:type="spellStart"/>
            <w:r>
              <w:rPr>
                <w:bCs/>
                <w:sz w:val="26"/>
                <w:szCs w:val="26"/>
              </w:rPr>
              <w:t>sân</w:t>
            </w:r>
            <w:proofErr w:type="spellEnd"/>
            <w:r>
              <w:rPr>
                <w:bCs/>
                <w:sz w:val="26"/>
                <w:szCs w:val="26"/>
              </w:rPr>
              <w:t xml:space="preserve"> = </w:t>
            </w:r>
            <w:r w:rsidR="00575955">
              <w:rPr>
                <w:bCs/>
                <w:sz w:val="26"/>
                <w:szCs w:val="26"/>
                <w:lang w:val="vi-VN"/>
              </w:rPr>
              <w:t>69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bảng</w:t>
            </w:r>
            <w:proofErr w:type="spellEnd"/>
          </w:p>
        </w:tc>
      </w:tr>
      <w:tr w:rsidR="005D1F9A" w:rsidRPr="00134569" w:rsidTr="005D1F9A">
        <w:trPr>
          <w:trHeight w:hRule="exact" w:val="457"/>
          <w:jc w:val="center"/>
        </w:trPr>
        <w:tc>
          <w:tcPr>
            <w:tcW w:w="568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2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Backdrop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>
              <w:rPr>
                <w:sz w:val="26"/>
                <w:szCs w:val="26"/>
              </w:rPr>
              <w:t xml:space="preserve"> (2m x 4m)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PVF</w:t>
            </w:r>
          </w:p>
        </w:tc>
        <w:tc>
          <w:tcPr>
            <w:tcW w:w="1290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D1F9A" w:rsidRPr="00134569" w:rsidTr="005D1F9A">
        <w:trPr>
          <w:trHeight w:hRule="exact" w:val="421"/>
          <w:jc w:val="center"/>
        </w:trPr>
        <w:tc>
          <w:tcPr>
            <w:tcW w:w="568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3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Băng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rôn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chào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mừng</w:t>
            </w:r>
            <w:proofErr w:type="spellEnd"/>
            <w:r w:rsidRPr="00134569">
              <w:rPr>
                <w:sz w:val="26"/>
                <w:szCs w:val="26"/>
              </w:rPr>
              <w:t xml:space="preserve"> (1m x 8m)</w:t>
            </w:r>
          </w:p>
        </w:tc>
        <w:tc>
          <w:tcPr>
            <w:tcW w:w="1290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10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5D1F9A" w:rsidRPr="00134569" w:rsidRDefault="005D1F9A" w:rsidP="0001430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D1F9A" w:rsidRPr="00134569" w:rsidTr="005D1F9A">
        <w:trPr>
          <w:trHeight w:hRule="exact" w:val="68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4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Phướn</w:t>
            </w:r>
            <w:proofErr w:type="spellEnd"/>
            <w:r w:rsidRPr="00134569">
              <w:rPr>
                <w:sz w:val="26"/>
                <w:szCs w:val="26"/>
              </w:rPr>
              <w:t xml:space="preserve"> (0.8m x 2m) </w:t>
            </w:r>
            <w:proofErr w:type="spellStart"/>
            <w:r w:rsidRPr="00134569">
              <w:rPr>
                <w:sz w:val="26"/>
                <w:szCs w:val="26"/>
              </w:rPr>
              <w:t>treo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tại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khuôn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viên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địa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điểm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tổ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chức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và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mặt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đường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290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50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5D1F9A" w:rsidRPr="00134569" w:rsidTr="005D1F9A">
        <w:trPr>
          <w:trHeight w:hRule="exact" w:val="43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5</w:t>
            </w:r>
          </w:p>
        </w:tc>
        <w:tc>
          <w:tcPr>
            <w:tcW w:w="5225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Backdrop </w:t>
            </w:r>
            <w:proofErr w:type="spellStart"/>
            <w:r w:rsidRPr="00134569">
              <w:rPr>
                <w:sz w:val="26"/>
                <w:szCs w:val="26"/>
              </w:rPr>
              <w:t>Phỏng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vấn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nhanh</w:t>
            </w:r>
            <w:proofErr w:type="spellEnd"/>
            <w:r w:rsidRPr="00134569">
              <w:rPr>
                <w:sz w:val="26"/>
                <w:szCs w:val="26"/>
              </w:rPr>
              <w:t xml:space="preserve"> (2m x 2.5m)</w:t>
            </w:r>
          </w:p>
        </w:tc>
        <w:tc>
          <w:tcPr>
            <w:tcW w:w="1290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5D1F9A" w:rsidRPr="00134569" w:rsidRDefault="005D1F9A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1F9A">
        <w:trPr>
          <w:trHeight w:hRule="exact" w:val="42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6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Decal logo </w:t>
            </w:r>
            <w:proofErr w:type="spellStart"/>
            <w:r w:rsidRPr="00134569">
              <w:rPr>
                <w:sz w:val="26"/>
                <w:szCs w:val="26"/>
              </w:rPr>
              <w:t>dán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phát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biểu</w:t>
            </w:r>
            <w:proofErr w:type="spellEnd"/>
            <w:r w:rsidRPr="00134569">
              <w:rPr>
                <w:sz w:val="26"/>
                <w:szCs w:val="26"/>
              </w:rPr>
              <w:t xml:space="preserve"> (0.35m x 1.05m)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1F9A">
        <w:trPr>
          <w:trHeight w:hRule="exact"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7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6818C2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để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cúp</w:t>
            </w:r>
            <w:proofErr w:type="spellEnd"/>
            <w:r w:rsidRPr="00134569">
              <w:rPr>
                <w:sz w:val="26"/>
                <w:szCs w:val="26"/>
              </w:rPr>
              <w:t>/</w:t>
            </w:r>
            <w:proofErr w:type="spellStart"/>
            <w:r w:rsidRPr="00134569">
              <w:rPr>
                <w:sz w:val="26"/>
                <w:szCs w:val="26"/>
              </w:rPr>
              <w:t>bóng</w:t>
            </w:r>
            <w:proofErr w:type="spellEnd"/>
            <w:r w:rsidRPr="00134569">
              <w:rPr>
                <w:sz w:val="26"/>
                <w:szCs w:val="26"/>
              </w:rPr>
              <w:t xml:space="preserve"> (0.</w:t>
            </w:r>
            <w:r w:rsidR="006818C2">
              <w:rPr>
                <w:sz w:val="26"/>
                <w:szCs w:val="26"/>
                <w:lang w:val="vi-VN"/>
              </w:rPr>
              <w:t>4</w:t>
            </w:r>
            <w:r w:rsidRPr="00134569">
              <w:rPr>
                <w:sz w:val="26"/>
                <w:szCs w:val="26"/>
              </w:rPr>
              <w:t>m x 0.</w:t>
            </w:r>
            <w:r w:rsidR="006818C2">
              <w:rPr>
                <w:sz w:val="26"/>
                <w:szCs w:val="26"/>
                <w:lang w:val="vi-VN"/>
              </w:rPr>
              <w:t>8</w:t>
            </w:r>
            <w:r w:rsidRPr="00134569">
              <w:rPr>
                <w:sz w:val="26"/>
                <w:szCs w:val="26"/>
              </w:rPr>
              <w:t>m)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6818C2">
        <w:trPr>
          <w:trHeight w:hRule="exact" w:val="62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8</w:t>
            </w:r>
          </w:p>
        </w:tc>
        <w:tc>
          <w:tcPr>
            <w:tcW w:w="5225" w:type="dxa"/>
            <w:vAlign w:val="center"/>
          </w:tcPr>
          <w:p w:rsidR="001A7133" w:rsidRPr="006818C2" w:rsidRDefault="001A7133" w:rsidP="00014304">
            <w:pPr>
              <w:spacing w:line="320" w:lineRule="exact"/>
              <w:jc w:val="both"/>
              <w:rPr>
                <w:sz w:val="26"/>
                <w:szCs w:val="26"/>
                <w:lang w:val="vi-VN"/>
              </w:rPr>
            </w:pPr>
            <w:r w:rsidRPr="00134569">
              <w:rPr>
                <w:sz w:val="26"/>
                <w:szCs w:val="26"/>
              </w:rPr>
              <w:t xml:space="preserve">Backdrop </w:t>
            </w:r>
            <w:proofErr w:type="spellStart"/>
            <w:r w:rsidRPr="00134569">
              <w:rPr>
                <w:sz w:val="26"/>
                <w:szCs w:val="26"/>
              </w:rPr>
              <w:t>trao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giải</w:t>
            </w:r>
            <w:proofErr w:type="spellEnd"/>
            <w:r w:rsidRPr="00134569">
              <w:rPr>
                <w:sz w:val="26"/>
                <w:szCs w:val="26"/>
              </w:rPr>
              <w:t xml:space="preserve"> (8m x 3.5m)</w:t>
            </w:r>
            <w:r w:rsidR="006818C2">
              <w:rPr>
                <w:sz w:val="26"/>
                <w:szCs w:val="26"/>
                <w:lang w:val="vi-VN"/>
              </w:rPr>
              <w:t>, khung sắt, decal bồi fomex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4A45F3">
        <w:trPr>
          <w:trHeight w:hRule="exact" w:val="79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9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1A7133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sân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khấu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trao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134569">
              <w:rPr>
                <w:sz w:val="26"/>
                <w:szCs w:val="26"/>
              </w:rPr>
              <w:t>(8m x 3.5m x 0.4m)</w:t>
            </w:r>
            <w:r>
              <w:rPr>
                <w:sz w:val="26"/>
                <w:szCs w:val="26"/>
              </w:rPr>
              <w:t xml:space="preserve"> </w:t>
            </w:r>
            <w:r w:rsidRPr="0013456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4A45F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v </w:t>
            </w:r>
            <w:proofErr w:type="spellStart"/>
            <w:r>
              <w:rPr>
                <w:sz w:val="26"/>
                <w:szCs w:val="26"/>
              </w:rPr>
              <w:t>chung</w:t>
            </w:r>
            <w:proofErr w:type="spellEnd"/>
            <w:r>
              <w:rPr>
                <w:sz w:val="26"/>
                <w:szCs w:val="26"/>
              </w:rPr>
              <w:t xml:space="preserve"> kết)</w:t>
            </w:r>
            <w:bookmarkStart w:id="0" w:name="_GoBack"/>
            <w:bookmarkEnd w:id="0"/>
          </w:p>
        </w:tc>
      </w:tr>
      <w:tr w:rsidR="001A7133" w:rsidRPr="00134569" w:rsidTr="001A7133">
        <w:trPr>
          <w:trHeight w:hRule="exact" w:val="33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>10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Backdrop Logo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  <w:r>
              <w:rPr>
                <w:sz w:val="26"/>
                <w:szCs w:val="26"/>
              </w:rPr>
              <w:t xml:space="preserve"> (1.5m x 2m)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2B5D">
        <w:trPr>
          <w:trHeight w:hRule="exact" w:val="713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5D2B5D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Backdrop</w:t>
            </w:r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chân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đội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r w:rsidR="005D2B5D">
              <w:rPr>
                <w:sz w:val="26"/>
                <w:szCs w:val="26"/>
                <w:lang w:val="vi-VN"/>
              </w:rPr>
              <w:t>đồng hạng</w:t>
            </w:r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ba</w:t>
            </w:r>
            <w:proofErr w:type="spellEnd"/>
            <w:r w:rsidRPr="00134569">
              <w:rPr>
                <w:sz w:val="26"/>
                <w:szCs w:val="26"/>
              </w:rPr>
              <w:t xml:space="preserve"> (0.5m x 8m)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1F9A">
        <w:trPr>
          <w:trHeight w:hRule="exact" w:val="42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Backdrop</w:t>
            </w:r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chân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đội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xếp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thứ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nhì</w:t>
            </w:r>
            <w:proofErr w:type="spellEnd"/>
            <w:r w:rsidRPr="00134569">
              <w:rPr>
                <w:sz w:val="26"/>
                <w:szCs w:val="26"/>
              </w:rPr>
              <w:t xml:space="preserve"> (0.5m x 8m)</w:t>
            </w:r>
          </w:p>
        </w:tc>
        <w:tc>
          <w:tcPr>
            <w:tcW w:w="1290" w:type="dxa"/>
            <w:vAlign w:val="center"/>
          </w:tcPr>
          <w:p w:rsidR="001A7133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1F9A">
        <w:trPr>
          <w:trHeight w:hRule="exact" w:val="43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Backdrop</w:t>
            </w:r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chân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bục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đội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vô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địch</w:t>
            </w:r>
            <w:proofErr w:type="spellEnd"/>
            <w:r w:rsidRPr="00134569">
              <w:rPr>
                <w:sz w:val="26"/>
                <w:szCs w:val="26"/>
              </w:rPr>
              <w:t xml:space="preserve"> (0.5m x 8m)</w:t>
            </w:r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01 </w:t>
            </w:r>
            <w:proofErr w:type="spellStart"/>
            <w:r w:rsidRPr="00134569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5D1F9A">
        <w:trPr>
          <w:trHeight w:hRule="exact" w:val="42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225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134569">
              <w:rPr>
                <w:sz w:val="26"/>
                <w:szCs w:val="26"/>
              </w:rPr>
              <w:t>Pháo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điện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trao</w:t>
            </w:r>
            <w:proofErr w:type="spellEnd"/>
            <w:r w:rsidRPr="00134569">
              <w:rPr>
                <w:sz w:val="26"/>
                <w:szCs w:val="26"/>
              </w:rPr>
              <w:t xml:space="preserve"> </w:t>
            </w:r>
            <w:proofErr w:type="spellStart"/>
            <w:r w:rsidRPr="00134569">
              <w:rPr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290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134569">
              <w:rPr>
                <w:sz w:val="26"/>
                <w:szCs w:val="26"/>
              </w:rPr>
              <w:t xml:space="preserve">20 </w:t>
            </w:r>
            <w:proofErr w:type="spellStart"/>
            <w:r w:rsidRPr="00134569"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1A7133">
        <w:trPr>
          <w:trHeight w:hRule="exact" w:val="70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014304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225" w:type="dxa"/>
            <w:vAlign w:val="center"/>
          </w:tcPr>
          <w:p w:rsidR="001A7133" w:rsidRPr="001A7133" w:rsidRDefault="001A7133" w:rsidP="00014304">
            <w:pPr>
              <w:spacing w:line="320" w:lineRule="exac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Che chắn, tháo dỡ các quảng cáo không thuộc VFF</w:t>
            </w:r>
          </w:p>
        </w:tc>
        <w:tc>
          <w:tcPr>
            <w:tcW w:w="1290" w:type="dxa"/>
            <w:vAlign w:val="center"/>
          </w:tcPr>
          <w:p w:rsidR="001A7133" w:rsidRPr="001A7133" w:rsidRDefault="001A7133" w:rsidP="00014304">
            <w:pPr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01 gói</w:t>
            </w:r>
          </w:p>
        </w:tc>
        <w:tc>
          <w:tcPr>
            <w:tcW w:w="3118" w:type="dxa"/>
            <w:vAlign w:val="center"/>
          </w:tcPr>
          <w:p w:rsidR="001A7133" w:rsidRPr="00134569" w:rsidRDefault="001A7133" w:rsidP="00014304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  <w:tr w:rsidR="001A7133" w:rsidRPr="00134569" w:rsidTr="001A7133">
        <w:trPr>
          <w:trHeight w:hRule="exact" w:val="84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A7133" w:rsidRPr="00134569" w:rsidRDefault="001A7133" w:rsidP="001A7133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225" w:type="dxa"/>
            <w:vAlign w:val="center"/>
          </w:tcPr>
          <w:p w:rsidR="001A7133" w:rsidRPr="001A7133" w:rsidRDefault="001A7133" w:rsidP="001A7133">
            <w:pPr>
              <w:spacing w:line="320" w:lineRule="exac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Vận chuyển, thi công lắp đặt các hạng mục trong thời gian diễn ra VCK</w:t>
            </w:r>
          </w:p>
        </w:tc>
        <w:tc>
          <w:tcPr>
            <w:tcW w:w="1290" w:type="dxa"/>
            <w:vAlign w:val="center"/>
          </w:tcPr>
          <w:p w:rsidR="001A7133" w:rsidRPr="001A7133" w:rsidRDefault="001A7133" w:rsidP="001A7133">
            <w:pPr>
              <w:spacing w:line="32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01 gói</w:t>
            </w:r>
          </w:p>
        </w:tc>
        <w:tc>
          <w:tcPr>
            <w:tcW w:w="3118" w:type="dxa"/>
            <w:vAlign w:val="center"/>
          </w:tcPr>
          <w:p w:rsidR="001A7133" w:rsidRPr="00134569" w:rsidRDefault="001A7133" w:rsidP="001A7133">
            <w:pPr>
              <w:spacing w:line="320" w:lineRule="exact"/>
              <w:jc w:val="both"/>
              <w:rPr>
                <w:sz w:val="26"/>
                <w:szCs w:val="26"/>
              </w:rPr>
            </w:pPr>
          </w:p>
        </w:tc>
      </w:tr>
    </w:tbl>
    <w:p w:rsidR="005D1F9A" w:rsidRPr="006024A0" w:rsidRDefault="005D1F9A" w:rsidP="005D1F9A">
      <w:pPr>
        <w:spacing w:before="120" w:after="120" w:line="240" w:lineRule="atLeast"/>
        <w:rPr>
          <w:b/>
          <w:sz w:val="26"/>
          <w:szCs w:val="26"/>
        </w:rPr>
      </w:pPr>
      <w:proofErr w:type="spellStart"/>
      <w:r w:rsidRPr="006024A0">
        <w:rPr>
          <w:b/>
          <w:sz w:val="26"/>
          <w:szCs w:val="26"/>
        </w:rPr>
        <w:t>Lưu</w:t>
      </w:r>
      <w:proofErr w:type="spellEnd"/>
      <w:r w:rsidRPr="006024A0">
        <w:rPr>
          <w:b/>
          <w:sz w:val="26"/>
          <w:szCs w:val="26"/>
        </w:rPr>
        <w:t xml:space="preserve"> ý:</w:t>
      </w:r>
    </w:p>
    <w:p w:rsidR="00FD08EE" w:rsidRPr="005D1F9A" w:rsidRDefault="005D1F9A" w:rsidP="005D1F9A">
      <w:pPr>
        <w:spacing w:before="120" w:after="120" w:line="240" w:lineRule="atLeast"/>
        <w:rPr>
          <w:b/>
          <w:sz w:val="26"/>
          <w:szCs w:val="26"/>
        </w:rPr>
      </w:pPr>
      <w:r w:rsidRPr="006024A0">
        <w:rPr>
          <w:b/>
          <w:sz w:val="26"/>
          <w:szCs w:val="26"/>
        </w:rPr>
        <w:t xml:space="preserve">- </w:t>
      </w:r>
      <w:proofErr w:type="spellStart"/>
      <w:r w:rsidRPr="006024A0">
        <w:rPr>
          <w:b/>
          <w:sz w:val="26"/>
          <w:szCs w:val="26"/>
        </w:rPr>
        <w:t>Đơn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vị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công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có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trách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nhiệm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khảo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sát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lại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kích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thước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thực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tế</w:t>
      </w:r>
      <w:proofErr w:type="spellEnd"/>
      <w:r w:rsidR="007934DD">
        <w:rPr>
          <w:b/>
          <w:sz w:val="26"/>
          <w:szCs w:val="26"/>
          <w:lang w:val="vi-VN"/>
        </w:rPr>
        <w:t xml:space="preserve"> và thông tin lại nếu có thay đổi</w:t>
      </w:r>
      <w:r w:rsidRPr="006024A0">
        <w:rPr>
          <w:b/>
          <w:sz w:val="26"/>
          <w:szCs w:val="26"/>
        </w:rPr>
        <w:t xml:space="preserve">. </w:t>
      </w:r>
      <w:proofErr w:type="spellStart"/>
      <w:r w:rsidRPr="006024A0">
        <w:rPr>
          <w:b/>
          <w:sz w:val="26"/>
          <w:szCs w:val="26"/>
        </w:rPr>
        <w:t>Thời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hạn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hoàn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thành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các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hạng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mục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trang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trí</w:t>
      </w:r>
      <w:proofErr w:type="spellEnd"/>
      <w:r w:rsidR="007934DD">
        <w:rPr>
          <w:b/>
          <w:sz w:val="26"/>
          <w:szCs w:val="26"/>
        </w:rPr>
        <w:t xml:space="preserve"> </w:t>
      </w:r>
      <w:proofErr w:type="spellStart"/>
      <w:r w:rsidR="007934DD">
        <w:rPr>
          <w:b/>
          <w:sz w:val="26"/>
          <w:szCs w:val="26"/>
        </w:rPr>
        <w:t>trước</w:t>
      </w:r>
      <w:proofErr w:type="spellEnd"/>
      <w:r w:rsidR="007934DD">
        <w:rPr>
          <w:b/>
          <w:sz w:val="26"/>
          <w:szCs w:val="26"/>
        </w:rPr>
        <w:t xml:space="preserve"> </w:t>
      </w:r>
      <w:proofErr w:type="spellStart"/>
      <w:r w:rsidR="007934DD">
        <w:rPr>
          <w:b/>
          <w:sz w:val="26"/>
          <w:szCs w:val="26"/>
        </w:rPr>
        <w:t>họp</w:t>
      </w:r>
      <w:proofErr w:type="spellEnd"/>
      <w:r w:rsidR="007934DD">
        <w:rPr>
          <w:b/>
          <w:sz w:val="26"/>
          <w:szCs w:val="26"/>
        </w:rPr>
        <w:t xml:space="preserve"> </w:t>
      </w:r>
      <w:proofErr w:type="spellStart"/>
      <w:r w:rsidR="007934DD">
        <w:rPr>
          <w:b/>
          <w:sz w:val="26"/>
          <w:szCs w:val="26"/>
        </w:rPr>
        <w:t>kỹ</w:t>
      </w:r>
      <w:proofErr w:type="spellEnd"/>
      <w:r w:rsidR="007934DD">
        <w:rPr>
          <w:b/>
          <w:sz w:val="26"/>
          <w:szCs w:val="26"/>
        </w:rPr>
        <w:t xml:space="preserve"> </w:t>
      </w:r>
      <w:proofErr w:type="spellStart"/>
      <w:r w:rsidR="007934DD">
        <w:rPr>
          <w:b/>
          <w:sz w:val="26"/>
          <w:szCs w:val="26"/>
        </w:rPr>
        <w:t>thuật</w:t>
      </w:r>
      <w:proofErr w:type="spellEnd"/>
      <w:r w:rsidR="007934DD">
        <w:rPr>
          <w:b/>
          <w:sz w:val="26"/>
          <w:szCs w:val="26"/>
        </w:rPr>
        <w:t xml:space="preserve"> VCK.</w:t>
      </w:r>
    </w:p>
    <w:sectPr w:rsidR="00FD08EE" w:rsidRPr="005D1F9A" w:rsidSect="00E35CE5">
      <w:pgSz w:w="11907" w:h="16840" w:code="9"/>
      <w:pgMar w:top="1134" w:right="992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256E"/>
    <w:multiLevelType w:val="hybridMultilevel"/>
    <w:tmpl w:val="3D52F7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A"/>
    <w:rsid w:val="001A7133"/>
    <w:rsid w:val="00416994"/>
    <w:rsid w:val="004A45F3"/>
    <w:rsid w:val="00575955"/>
    <w:rsid w:val="005D1F9A"/>
    <w:rsid w:val="005D2B5D"/>
    <w:rsid w:val="006818C2"/>
    <w:rsid w:val="007934DD"/>
    <w:rsid w:val="00855E49"/>
    <w:rsid w:val="008E52E0"/>
    <w:rsid w:val="00963DF5"/>
    <w:rsid w:val="00CB7024"/>
    <w:rsid w:val="00E31D5E"/>
    <w:rsid w:val="00EB1E5C"/>
    <w:rsid w:val="00F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9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2025-12-30T06:50:00Z</cp:lastPrinted>
  <dcterms:created xsi:type="dcterms:W3CDTF">2025-12-30T04:47:00Z</dcterms:created>
  <dcterms:modified xsi:type="dcterms:W3CDTF">2026-07-08T04:22:00Z</dcterms:modified>
</cp:coreProperties>
</file>